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C725E35" w:rsidP="3D882CE1" w:rsidRDefault="6C725E35" w14:paraId="70D4B4AA" w14:textId="263A4796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6C725E35">
        <w:drawing>
          <wp:inline wp14:editId="33D3D00B" wp14:anchorId="1AFFBA15">
            <wp:extent cx="5724525" cy="1428750"/>
            <wp:effectExtent l="0" t="0" r="0" b="0"/>
            <wp:docPr id="91756755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17567556" name=""/>
                    <pic:cNvPicPr/>
                  </pic:nvPicPr>
                  <pic:blipFill>
                    <a:blip xmlns:r="http://schemas.openxmlformats.org/officeDocument/2006/relationships" r:embed="rId210374516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882CE1" w:rsidP="3D882CE1" w:rsidRDefault="3D882CE1" w14:paraId="6BBE97D2" w14:textId="50CE00A0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D882CE1" wp14:paraId="4BA5AAAE" wp14:textId="16614A99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DFE &amp; Public Health England. “Promoting children and young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persons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mental health in schools” </w:t>
      </w:r>
      <w:hyperlink r:id="R80e3875c828b4c23">
        <w:r w:rsidRPr="3D882CE1" w:rsidR="539A0D81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https://assets.publishing.service.gov.uk/media/614cc965d3bf7f718518029c/Promoting_children_and_young_people_s_mental_health_and_wellbeing.pdf</w:t>
        </w:r>
      </w:hyperlink>
    </w:p>
    <w:p xmlns:wp14="http://schemas.microsoft.com/office/word/2010/wordml" w:rsidP="3D882CE1" wp14:paraId="5E5787A5" wp14:textId="6C1261A6">
      <w:pPr>
        <w:rPr>
          <w:rFonts w:ascii="Century Gothic" w:hAnsi="Century Gothic" w:eastAsia="Century Gothic" w:cs="Century Gothic"/>
          <w:sz w:val="24"/>
          <w:szCs w:val="24"/>
        </w:rPr>
      </w:pPr>
    </w:p>
    <w:p w:rsidR="539A0D81" w:rsidP="3D882CE1" w:rsidRDefault="539A0D81" w14:paraId="312AFF8B" w14:textId="0B90508B">
      <w:pPr>
        <w:rPr>
          <w:rFonts w:ascii="Century Gothic" w:hAnsi="Century Gothic" w:eastAsia="Century Gothic" w:cs="Century Gothic"/>
          <w:sz w:val="24"/>
          <w:szCs w:val="24"/>
        </w:rPr>
      </w:pPr>
      <w:r w:rsidRPr="3D882CE1" w:rsidR="539A0D81">
        <w:rPr>
          <w:rFonts w:ascii="Century Gothic" w:hAnsi="Century Gothic" w:eastAsia="Century Gothic" w:cs="Century Gothic"/>
          <w:sz w:val="24"/>
          <w:szCs w:val="24"/>
        </w:rPr>
        <w:t>REFERENCES</w:t>
      </w:r>
      <w:r w:rsidRPr="3D882CE1" w:rsidR="420B123C">
        <w:rPr>
          <w:rFonts w:ascii="Century Gothic" w:hAnsi="Century Gothic" w:eastAsia="Century Gothic" w:cs="Century Gothic"/>
          <w:sz w:val="24"/>
          <w:szCs w:val="24"/>
        </w:rPr>
        <w:t xml:space="preserve"> FOR ETHOS AND ENVIRONMENT </w:t>
      </w:r>
    </w:p>
    <w:p w:rsidR="539A0D81" w:rsidP="3D882CE1" w:rsidRDefault="539A0D81" w14:paraId="72CA5F42" w14:textId="40FACC59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Bennett, Tom. "Creating a Culture: How School Leaders Can Optimise Behaviour."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UK Department for Education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(2017).</w:t>
      </w:r>
    </w:p>
    <w:p w:rsidR="539A0D81" w:rsidP="3D882CE1" w:rsidRDefault="539A0D81" w14:paraId="68200A51" w14:textId="3AD1EF12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Demkowicz, Ola, et al. "“We want it to be a culture”: children and young people’s perceptions of what underpins and undermines education-based wellbeing provision."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BMC Public Health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23.1 (2023): 1305.</w:t>
      </w:r>
    </w:p>
    <w:p w:rsidR="539A0D81" w:rsidP="3D882CE1" w:rsidRDefault="539A0D81" w14:paraId="721EF143" w14:textId="04891D82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Hart, Angela, and Becky Heaver. "Resilience approaches to supporting young people's mental health: Appraising the evidence base for schools and communities." (2015).</w:t>
      </w:r>
      <w:r w:rsidRPr="3D882CE1" w:rsidR="539A0D81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w:rsidR="539A0D81" w:rsidP="3D882CE1" w:rsidRDefault="539A0D81" w14:paraId="1D6C2F05" w14:textId="76432D8D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Howard, Colin, Denisse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Levermore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, and Maddie Burton. "Children's Mental Health and Emotional Well-being in Primary Schools." (2019): 1-184.</w:t>
      </w:r>
    </w:p>
    <w:p w:rsidR="539A0D81" w:rsidP="3D882CE1" w:rsidRDefault="539A0D81" w14:paraId="75D738DE" w14:textId="1994A8B3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Hurry, Linda, et al. "The role of schools in the mental health of children &amp; young people." (2021): 2-26.</w:t>
      </w:r>
    </w:p>
    <w:p w:rsidR="539A0D81" w:rsidP="3D882CE1" w:rsidRDefault="539A0D81" w14:paraId="671ECC1A" w14:textId="79084EBE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Jamal, Farah, et al. "The school environment and student health: a systematic review and meta-ethnography of qualitative research."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BMC public health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13.1 (2013): 798.</w:t>
      </w:r>
    </w:p>
    <w:p w:rsidR="539A0D81" w:rsidP="3D882CE1" w:rsidRDefault="539A0D81" w14:paraId="39864407" w14:textId="30F93A6A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Jessiman, Patricia, et al. "School culture and student mental health: a qualitative study in UK secondary schools."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BMC public health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22.1 (2022): 619.</w:t>
      </w:r>
    </w:p>
    <w:p w:rsidR="539A0D81" w:rsidP="3D882CE1" w:rsidRDefault="539A0D81" w14:paraId="04E33EC2" w14:textId="1AE3F9F5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Johnson, Rebecca, et al. "‘Care as capital’: Developing theory about school investment in mental health and wellbeing."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Social Science &amp; Medicine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366 (2025): 117665.</w:t>
      </w:r>
    </w:p>
    <w:p w:rsidR="539A0D81" w:rsidP="3D882CE1" w:rsidRDefault="539A0D81" w14:paraId="1E4BE7F0" w14:textId="04881484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March, Anna, et al. "Sustaining mental health and wellbeing programmes in schools: recommendations from an online roundtable."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Frontiers in Education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Vol. 9. Frontiers Media SA, 2024.</w:t>
      </w:r>
    </w:p>
    <w:p w:rsidR="539A0D81" w:rsidP="3D882CE1" w:rsidRDefault="539A0D81" w14:paraId="0416807F" w14:textId="7D95BFA6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McGowan, Marilyn.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How does the ethos of the school counselling service relate to the ethos of the host primary school? The Rainbow Room Narratives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Diss. Buckinghamshire New University (Awarded by Coventry University), 2020.</w:t>
      </w:r>
    </w:p>
    <w:p w:rsidR="539A0D81" w:rsidP="3D882CE1" w:rsidRDefault="539A0D81" w14:paraId="17B67E9D" w14:textId="6B7A4A3B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McLoughlin, Shane, and Kristján Kristjánsson. "Virtues as protective factors for adolescent mental health."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Research on Adolescence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35.1 (2025): e13004.</w:t>
      </w:r>
    </w:p>
    <w:p w:rsidR="539A0D81" w:rsidP="3D882CE1" w:rsidRDefault="539A0D81" w14:paraId="00D23E49" w14:textId="0529B346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O’Reilly, Michelle, et al. "Review of mental health promotion interventions in schools."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Social psychiatry and psychiatric epidemiology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53.7 (2018): 647-662.</w:t>
      </w:r>
    </w:p>
    <w:p w:rsidR="539A0D81" w:rsidP="3D882CE1" w:rsidRDefault="539A0D81" w14:paraId="7FF0A62C" w14:textId="234CC772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Rothì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Despina M., Gerard Leavey, and Ron Best. "On the front-line: Teachers as active observers of pupils’ mental health."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Teaching and teacher education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24.5 (2008): 1217-1231.</w:t>
      </w:r>
    </w:p>
    <w:p w:rsidR="539A0D81" w:rsidP="3D882CE1" w:rsidRDefault="539A0D81" w14:paraId="0DD5C1C8" w14:textId="362320A4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Weare, Katherine, and Michael Murray. "Building a sustainable approach to mental health work in schools."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International Journal of Mental Health Promotion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6.2 (2004): 53-59.</w:t>
      </w:r>
    </w:p>
    <w:p w:rsidR="539A0D81" w:rsidP="3D882CE1" w:rsidRDefault="539A0D81" w14:paraId="260CE505" w14:textId="0219151A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White, Clarissa, et al. "Supporting Mental Health in Schools and Colleges."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Department for Education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(2017).</w:t>
      </w:r>
    </w:p>
    <w:p w:rsidR="539A0D81" w:rsidP="3D882CE1" w:rsidRDefault="539A0D81" w14:paraId="6F29B4CB" w14:textId="60FA48CB">
      <w:pPr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Woozley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Emma.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Envisioning the ‘ideal 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school’for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mental health: an exploration of the mediators underpinning universal interventions, and empowering pupil voice to shape school systems</w:t>
      </w:r>
      <w:r w:rsidRPr="3D882CE1" w:rsidR="539A0D8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Diss. University of Southampton, 2025.</w:t>
      </w:r>
    </w:p>
    <w:p w:rsidR="63A2D40F" w:rsidP="3D882CE1" w:rsidRDefault="63A2D40F" w14:paraId="604D1232" w14:textId="49F17DCE">
      <w:pPr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79B5B1"/>
    <w:rsid w:val="19FE42E1"/>
    <w:rsid w:val="2A5AD3DF"/>
    <w:rsid w:val="2B82CB23"/>
    <w:rsid w:val="3D882CE1"/>
    <w:rsid w:val="420B123C"/>
    <w:rsid w:val="539A0D81"/>
    <w:rsid w:val="5AC6313D"/>
    <w:rsid w:val="63A2D40F"/>
    <w:rsid w:val="63DDB138"/>
    <w:rsid w:val="6C725E35"/>
    <w:rsid w:val="7479B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B5B1"/>
  <w15:chartTrackingRefBased/>
  <w15:docId w15:val="{62FCCC9A-DFA1-4C8B-8037-A55194B53C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3A2D40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2103745161" /><Relationship Type="http://schemas.openxmlformats.org/officeDocument/2006/relationships/hyperlink" Target="https://assets.publishing.service.gov.uk/media/614cc965d3bf7f718518029c/Promoting_children_and_young_people_s_mental_health_and_wellbeing.pdf" TargetMode="External" Id="R80e3875c828b4c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Blakeledge</dc:creator>
  <keywords/>
  <dc:description/>
  <lastModifiedBy>Lily Blakeledge</lastModifiedBy>
  <revision>3</revision>
  <dcterms:created xsi:type="dcterms:W3CDTF">2025-08-28T13:58:24.2395162Z</dcterms:created>
  <dcterms:modified xsi:type="dcterms:W3CDTF">2025-08-29T06:44:28.9578902Z</dcterms:modified>
</coreProperties>
</file>