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E49EA4B" w:rsidP="27BBC0A9" w:rsidRDefault="6E49EA4B" w14:paraId="65366D8F" w14:textId="34413017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="6E49EA4B">
        <w:drawing>
          <wp:inline wp14:editId="0C3D289B" wp14:anchorId="25A8011F">
            <wp:extent cx="5724525" cy="1428750"/>
            <wp:effectExtent l="0" t="0" r="0" b="0"/>
            <wp:docPr id="12401512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0151209" name=""/>
                    <pic:cNvPicPr/>
                  </pic:nvPicPr>
                  <pic:blipFill>
                    <a:blip xmlns:r="http://schemas.openxmlformats.org/officeDocument/2006/relationships" r:embed="rId34521310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7BBC0A9" w:rsidP="27BBC0A9" w:rsidRDefault="27BBC0A9" w14:paraId="6F6ECAC1" w14:textId="02B8C1B4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p xmlns:wp14="http://schemas.microsoft.com/office/word/2010/wordml" w:rsidP="27BBC0A9" wp14:paraId="6969BAC0" wp14:textId="0F7D389F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DFE &amp; Public Health England “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Promoting children and young people’s mental health and wellbeing” </w:t>
      </w:r>
      <w:hyperlink r:id="Rd02c57e5d4794665">
        <w:r w:rsidRPr="27BBC0A9" w:rsidR="76B19A40">
          <w:rPr>
            <w:rStyle w:val="Hyperlink"/>
            <w:rFonts w:ascii="Century Gothic" w:hAnsi="Century Gothic" w:eastAsia="Century Gothic" w:cs="Century Gothic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27BBC0A9" wp14:paraId="16057BB2" wp14:textId="5F341310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p xmlns:wp14="http://schemas.microsoft.com/office/word/2010/wordml" w:rsidP="27BBC0A9" wp14:paraId="0583DF12" wp14:textId="2E26EFA7">
      <w:pPr>
        <w:rPr>
          <w:rFonts w:ascii="Century Gothic" w:hAnsi="Century Gothic" w:eastAsia="Century Gothic" w:cs="Century Gothic"/>
          <w:color w:val="222222"/>
          <w:sz w:val="24"/>
          <w:szCs w:val="24"/>
        </w:rPr>
      </w:pPr>
      <w:r w:rsidRPr="27BBC0A9" w:rsidR="76B19A40">
        <w:rPr>
          <w:rFonts w:ascii="Century Gothic" w:hAnsi="Century Gothic" w:eastAsia="Century Gothic" w:cs="Century Gothic"/>
          <w:color w:val="222222"/>
          <w:sz w:val="24"/>
          <w:szCs w:val="24"/>
        </w:rPr>
        <w:t>R</w:t>
      </w:r>
      <w:r w:rsidRPr="27BBC0A9" w:rsidR="11968395">
        <w:rPr>
          <w:rFonts w:ascii="Century Gothic" w:hAnsi="Century Gothic" w:eastAsia="Century Gothic" w:cs="Century Gothic"/>
          <w:color w:val="222222"/>
          <w:sz w:val="24"/>
          <w:szCs w:val="24"/>
        </w:rPr>
        <w:t>EFERENCES FOR WORKING WITH PARENTS, FAMILIES AND CARERS</w:t>
      </w:r>
    </w:p>
    <w:p xmlns:wp14="http://schemas.microsoft.com/office/word/2010/wordml" w:rsidP="27BBC0A9" wp14:paraId="0533DBD8" wp14:textId="25B7CD8A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p xmlns:wp14="http://schemas.microsoft.com/office/word/2010/wordml" w:rsidP="27BBC0A9" wp14:paraId="3D3E67B0" wp14:textId="5C324CEF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Argent, Karen. "Every Child Matters: change for parents/carers and families? Can schools work with families to promote knowledge and understanding of government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expectations?.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Education 3–13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35.3 (2007): 295-303.</w:t>
      </w:r>
      <w:r w:rsidRPr="27BBC0A9" w:rsidR="76B19A40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7BBC0A9" wp14:paraId="6AAE714A" wp14:textId="1660BFE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Barnes, Sally-Anne, et al. "The role of parents and carers in providing careers guidance and how they can be better supported: international evidence report." (2020).</w:t>
      </w:r>
      <w:r w:rsidRPr="27BBC0A9" w:rsidR="76B19A40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7BBC0A9" wp14:paraId="5B69B794" wp14:textId="48C5718C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Bartolo, Paul, and Carmel Cefai. "Parents’/carers’ participation in mental health promotion in schools."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Mental health promotion in schools: Cross-cultural narratives and perspectives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Rotterdam: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SensePublishers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2017. 197-205. </w:t>
      </w:r>
    </w:p>
    <w:p xmlns:wp14="http://schemas.microsoft.com/office/word/2010/wordml" w:rsidP="27BBC0A9" wp14:paraId="2BD75B0A" wp14:textId="1A12A89E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Christie, Hope, et al. "Examining harmful impacts of the COVID‐19 pandemic and school closures on parents and carers in the United Kingdom: A rapid review."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JCPP advances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2.3 (2022): e12095.</w:t>
      </w:r>
    </w:p>
    <w:p xmlns:wp14="http://schemas.microsoft.com/office/word/2010/wordml" w:rsidP="27BBC0A9" wp14:paraId="5BA29AF5" wp14:textId="09972C2C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Gore, Helen.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" Working together... it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doesn't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go far enough actually for what the relationship becomes"-An IPA study exploring the experiences of primary school SENCOs working with parents/carers through the EHCP process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Essex and Tavistock &amp; Portman NHS Trust, 2016.</w:t>
      </w:r>
    </w:p>
    <w:p xmlns:wp14="http://schemas.microsoft.com/office/word/2010/wordml" w:rsidP="27BBC0A9" wp14:paraId="430BB935" wp14:textId="2F8F7789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Hasson, Laurence, et al. "Inclusivity in education for autism spectrum disorders: Experiences of support from the perspective of parent/carers, school teaching staff and young people on the autism spectrum."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International Journal of Developmental Disabilities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70.2 (2024): 201-212.</w:t>
      </w:r>
    </w:p>
    <w:p xmlns:wp14="http://schemas.microsoft.com/office/word/2010/wordml" w:rsidP="27BBC0A9" wp14:paraId="02B719AD" wp14:textId="637D3D17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Holmes, Sarah E., Shelley Logan, and Emma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Olorenshaw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"Working towards improved collaboration: reviewing provision and support for Christian parents/carers."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British Journal of Religious Education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47.3 (2025): 335-349.</w:t>
      </w:r>
    </w:p>
    <w:p xmlns:wp14="http://schemas.microsoft.com/office/word/2010/wordml" w:rsidP="27BBC0A9" wp14:paraId="44BFA24F" wp14:textId="273415F0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Jones, Chris. "Don’t forget the parents: Preparing trainee teachers for family–school partnership."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Practice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2.1 (2020): 68-85.</w:t>
      </w:r>
    </w:p>
    <w:p xmlns:wp14="http://schemas.microsoft.com/office/word/2010/wordml" w:rsidP="27BBC0A9" wp14:paraId="57294F4E" wp14:textId="7EB3F8FF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Kakoulidou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Myrofora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et al. "Involving children, teachers and parents/carers in dialogues around child well-being in schools."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Research for All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7.1 (2023).</w:t>
      </w:r>
    </w:p>
    <w:p xmlns:wp14="http://schemas.microsoft.com/office/word/2010/wordml" w:rsidP="27BBC0A9" wp14:paraId="5E5787A5" wp14:textId="37F7537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Mutton, Trevor, Katharine Burn, and Ian Thompson. "Preparation for family-school partnerships within initial teacher education programmes in England."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Education for Teaching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44.3 (2018): 278-295.</w:t>
      </w:r>
    </w:p>
    <w:p w:rsidR="76B19A40" w:rsidP="27BBC0A9" w:rsidRDefault="76B19A40" w14:paraId="64067F8D" w14:textId="69F55EE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Salamon, Eszter. "Parents: Primary educators, caregivers, gatekeepers, scaffolders."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Parents International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(2019).</w:t>
      </w:r>
    </w:p>
    <w:p w:rsidR="76B19A40" w:rsidP="27BBC0A9" w:rsidRDefault="76B19A40" w14:paraId="58B1FDC9" w14:textId="201C05E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Rickett, Bridgette, et al. "Support for parents/carers of primary school aged gender diverse children in England, UK: A mixed-method analysis of experiences with health services."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Social Perspectives on Trans Health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Routledge, 2024. 9-24.</w:t>
      </w:r>
    </w:p>
    <w:p w:rsidR="76B19A40" w:rsidP="27BBC0A9" w:rsidRDefault="76B19A40" w14:paraId="4FF781EB" w14:textId="40BB506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Rose, Janet, et al. "Attachment aware schools: working with families to enhance parental engagement and home-school relationships."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The Open Family Studies Journal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9.1 (2023): 160-171.</w:t>
      </w:r>
    </w:p>
    <w:p w:rsidR="76B19A40" w:rsidP="27BBC0A9" w:rsidRDefault="76B19A40" w14:paraId="65FA8DB3" w14:textId="2CA1DA78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Wallis, Fiona.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In what ways do the views of parents/carers change through the participation in Multi-Family Groups in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Schools?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Diss. University of East London, 2023.</w:t>
      </w:r>
    </w:p>
    <w:p w:rsidR="76B19A40" w:rsidP="27BBC0A9" w:rsidRDefault="76B19A40" w14:paraId="249ADFE0" w14:textId="0BDC4A9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Warhurst, Amy, Sarah Bayless, and Emma Maynard. "Teachers’ perceptions of supporting young carers in schools: identifying support needs and the importance of home–school relationships." 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International Journal of Environmental Research and Public Health</w:t>
      </w:r>
      <w:r w:rsidRPr="27BBC0A9" w:rsidR="76B19A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19.17 (2022): 10755.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9F3188"/>
    <w:rsid w:val="0B29E773"/>
    <w:rsid w:val="11968395"/>
    <w:rsid w:val="1589CBC9"/>
    <w:rsid w:val="1691216F"/>
    <w:rsid w:val="27BBC0A9"/>
    <w:rsid w:val="2DD357BE"/>
    <w:rsid w:val="2EADEAA1"/>
    <w:rsid w:val="463BA8FF"/>
    <w:rsid w:val="4F1552EC"/>
    <w:rsid w:val="57B16E05"/>
    <w:rsid w:val="6E49EA4B"/>
    <w:rsid w:val="76B19A40"/>
    <w:rsid w:val="7B9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3188"/>
  <w15:chartTrackingRefBased/>
  <w15:docId w15:val="{3ED98873-0503-49E9-9B49-39FF565DC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589CB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345213100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d02c57e5d47946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2025-08-28T13:32:55.8092448Z</dcterms:created>
  <dcterms:modified xsi:type="dcterms:W3CDTF">2025-08-29T07:53:42.1183951Z</dcterms:modified>
</coreProperties>
</file>